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3A7D2C" w:color="auto" w:val="clear"/>
        <w:spacing w:after="0" w:before="0"/>
      </w:pPr>
      <w:r>
        <w:rPr>
          <w:b/>
          <w:bCs/>
          <w:color w:val="FFFFFF"/>
          <w:sz w:val="30"/>
          <w:szCs w:val="30"/>
        </w:rPr>
        <w:t xml:space="preserve">Clorosis nervial amarilla de los cítricos (CYVCV)</w:t>
      </w:r>
      <w:r>
        <w:br/>
        <w:t xml:space="preserve"/>
      </w:r>
      <w:r>
        <w:rPr>
          <w:i/>
          <w:iCs/>
          <w:color w:val="F2F8EE"/>
          <w:sz w:val="17"/>
          <w:szCs w:val="17"/>
        </w:rPr>
        <w:t xml:space="preserve">Ficha práctica · España y Portugal · 2026</w:t>
      </w:r>
    </w:p>
    <w:p>
      <w:pPr>
        <w:spacing w:after="100" w:before="120"/>
      </w:pPr>
      <w:r>
        <w:rPr>
          <w:b/>
          <w:bCs/>
          <w:color w:val="222222"/>
          <w:sz w:val="19"/>
          <w:szCs w:val="19"/>
        </w:rPr>
        <w:t xml:space="preserve">El virus emergente más relevante de la citricultura ibérica. La gestión es preventiva y, por ello, plenamente compatible con la </w:t>
      </w:r>
      <w:r>
        <w:rPr>
          <w:b/>
          <w:bCs/>
          <w:color w:val="222222"/>
          <w:sz w:val="19"/>
          <w:szCs w:val="19"/>
        </w:rPr>
        <w:t xml:space="preserve">ZERYA</w:t>
      </w:r>
      <w:r>
        <w:rPr>
          <w:b/>
          <w:bCs/>
          <w:color w:val="222222"/>
          <w:sz w:val="19"/>
          <w:szCs w:val="19"/>
          <w:vertAlign w:val="superscript"/>
        </w:rPr>
        <w:t xml:space="preserve">®</w:t>
      </w:r>
      <w:r>
        <w:rPr>
          <w:b/>
          <w:bCs/>
          <w:color w:val="222222"/>
          <w:sz w:val="19"/>
          <w:szCs w:val="19"/>
        </w:rPr>
        <w:t xml:space="preserve"> SIN Residuos de Pesticidas</w:t>
      </w:r>
    </w:p>
    <w:p>
      <w:pPr>
        <w:pBdr>
          <w:bottom w:val="single" w:color="CFE0C4" w:sz="4"/>
        </w:pBdr>
        <w:spacing w:after="30" w:before="110"/>
      </w:pPr>
      <w:r>
        <w:rPr>
          <w:b/>
          <w:bCs/>
          <w:color w:val="2E5E22"/>
          <w:sz w:val="19"/>
          <w:szCs w:val="19"/>
        </w:rPr>
        <w:t xml:space="preserve">¿QUÉ ES?</w:t>
      </w:r>
    </w:p>
    <w:p>
      <w:pPr>
        <w:spacing w:after="20" w:before="20"/>
      </w:pPr>
      <w:r>
        <w:rPr>
          <w:color w:val="222222"/>
          <w:sz w:val="18"/>
          <w:szCs w:val="18"/>
        </w:rPr>
        <w:t xml:space="preserve">Virus sistémico y permanente (Potexvirus citriflavivenae). El árbol infectado queda enfermo de por vida y se convierte en foco de contagio. Afecta sobre todo a limonero, lima y naranjo amargo; naranjo, mandarino, clementino y varias malas hierbas actúan como reservorios sin síntomas.</w:t>
      </w:r>
    </w:p>
    <w:p>
      <w:pPr>
        <w:pBdr>
          <w:bottom w:val="single" w:color="CFE0C4" w:sz="4"/>
        </w:pBdr>
        <w:spacing w:after="30" w:before="110"/>
      </w:pPr>
      <w:r>
        <w:rPr>
          <w:b/>
          <w:bCs/>
          <w:color w:val="2E5E22"/>
          <w:sz w:val="19"/>
          <w:szCs w:val="19"/>
        </w:rPr>
        <w:t xml:space="preserve">CÓMO RECONOCERLO</w:t>
      </w:r>
    </w:p>
    <w:tbl>
      <w:tblPr>
        <w:tblW w:type="dxa" w:w="10318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900"/>
        <w:gridCol w:w="6418"/>
      </w:tblGrid>
      <w:tr>
        <w:tc>
          <w:tcPr>
            <w:tcW w:type="dxa" w:w="3900"/>
            <w:tcMar>
              <w:top w:type="dxa" w:w="20"/>
              <w:left w:type="dxa" w:w="20"/>
              <w:bottom w:type="dxa" w:w="20"/>
              <w:right w:type="dxa" w:w="120"/>
            </w:tcMar>
            <w:vAlign w:val="center"/>
          </w:tcPr>
          <w:p>
            <w:pPr>
              <w:spacing w:after="20" w:before="0"/>
              <w:jc w:val="center"/>
            </w:pPr>
            <w:r>
              <w:drawing>
                <wp:inline distT="0" distB="0" distL="0" distR="0">
                  <wp:extent cx="2209800" cy="11239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1123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before="0"/>
              <w:jc w:val="center"/>
            </w:pPr>
            <w:r>
              <w:rPr>
                <w:i/>
                <w:iCs/>
                <w:color w:val="555555"/>
                <w:sz w:val="12"/>
                <w:szCs w:val="12"/>
              </w:rPr>
              <w:t xml:space="preserve">Izq.: hoja sana · Dcha.: clareamiento nervial amarillo (CYVCV). Ilustración orientativa.</w:t>
            </w:r>
          </w:p>
        </w:tc>
        <w:tc>
          <w:tcPr>
            <w:tcW w:type="dxa" w:w="6418"/>
            <w:tcMar>
              <w:top w:type="dxa" w:w="20"/>
              <w:left w:type="dxa" w:w="60"/>
              <w:bottom w:type="dxa" w:w="20"/>
              <w:right w:type="dxa" w:w="20"/>
            </w:tcMar>
            <w:vAlign w:val="center"/>
          </w:tcPr>
          <w:p>
            <w:pPr>
              <w:pStyle w:val="ListParagraph"/>
              <w:numPr>
                <w:ilvl w:val="0"/>
                <w:numId w:val="2"/>
              </w:numPr>
              <w:spacing w:after="8" w:before="8"/>
            </w:pPr>
            <w:r>
              <w:rPr>
                <w:b/>
                <w:bCs/>
                <w:color w:val="222222"/>
                <w:sz w:val="17"/>
                <w:szCs w:val="17"/>
              </w:rPr>
              <w:t xml:space="preserve">Síntomas: </w:t>
            </w:r>
            <w:r>
              <w:rPr>
                <w:color w:val="222222"/>
                <w:sz w:val="17"/>
                <w:szCs w:val="17"/>
              </w:rPr>
              <w:t xml:space="preserve">nervaduras (sobre todo secundarias) de amarillo intenso, hoja alabeada y manchas en anillo; en limón, fruto malformado y de menor calibre.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8" w:before="8"/>
            </w:pPr>
            <w:r>
              <w:rPr>
                <w:b/>
                <w:bCs/>
                <w:color w:val="222222"/>
                <w:sz w:val="17"/>
                <w:szCs w:val="17"/>
              </w:rPr>
              <w:t xml:space="preserve">Cuándo mirar: </w:t>
            </w:r>
            <w:r>
              <w:rPr>
                <w:color w:val="222222"/>
                <w:sz w:val="17"/>
                <w:szCs w:val="17"/>
              </w:rPr>
              <w:t xml:space="preserve">en primavera y otoño; en verano los síntomas se atenúan y pueden engañar.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8" w:before="8"/>
            </w:pPr>
            <w:r>
              <w:rPr>
                <w:b/>
                <w:bCs/>
                <w:color w:val="222222"/>
                <w:sz w:val="17"/>
                <w:szCs w:val="17"/>
              </w:rPr>
              <w:t xml:space="preserve">Ojo: </w:t>
            </w:r>
            <w:r>
              <w:rPr>
                <w:color w:val="222222"/>
                <w:sz w:val="17"/>
                <w:szCs w:val="17"/>
              </w:rPr>
              <w:t xml:space="preserve">el amarilleo puede confundirse con carencias u otras virosis; confirmar siempre por laboratorio (RT-PCR).</w:t>
            </w:r>
          </w:p>
        </w:tc>
      </w:tr>
    </w:tbl>
    <w:p>
      <w:pPr>
        <w:spacing w:after="20" w:before="40"/>
        <w:jc w:val="center"/>
      </w:pPr>
      <w:r>
        <w:drawing>
          <wp:inline distT="0" distB="0" distL="0" distR="0">
            <wp:extent cx="2343150" cy="134302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40" w:before="0"/>
        <w:jc w:val="center"/>
      </w:pPr>
      <w:r>
        <w:rPr>
          <w:i/>
          <w:iCs/>
          <w:color w:val="555555"/>
          <w:sz w:val="14"/>
          <w:szCs w:val="14"/>
        </w:rPr>
        <w:t xml:space="preserve">Foto real: hoja de limonero con clareamiento nervial amarillo. Fuente: Kwak et al. (2026), Viruses 18(1):141, CC BY 4.0.</w:t>
      </w:r>
    </w:p>
    <w:p>
      <w:pPr>
        <w:pBdr>
          <w:bottom w:val="single" w:color="CFE0C4" w:sz="4"/>
        </w:pBdr>
        <w:spacing w:after="30" w:before="110"/>
      </w:pPr>
      <w:r>
        <w:rPr>
          <w:b/>
          <w:bCs/>
          <w:color w:val="2E5E22"/>
          <w:sz w:val="19"/>
          <w:szCs w:val="19"/>
        </w:rPr>
        <w:t xml:space="preserve">CÓMO SE TRANSMITE</w:t>
      </w:r>
    </w:p>
    <w:p>
      <w:pPr>
        <w:spacing w:after="20" w:before="20"/>
      </w:pPr>
      <w:r>
        <w:rPr>
          <w:color w:val="222222"/>
          <w:sz w:val="18"/>
          <w:szCs w:val="18"/>
        </w:rPr>
        <w:t xml:space="preserve">Plantón de vivero infectado (vía principal), injerto, herramientas de corte contaminadas y vectores (pulgones Aphis spiraecola / A. gossypii y mosca blanca Dialeurodes citri). No se transmite por semilla.</w:t>
      </w:r>
    </w:p>
    <w:p>
      <w:pPr>
        <w:pBdr>
          <w:bottom w:val="single" w:color="CFE0C4" w:sz="4"/>
        </w:pBdr>
        <w:spacing w:after="30" w:before="110"/>
      </w:pPr>
      <w:r>
        <w:rPr>
          <w:b/>
          <w:bCs/>
          <w:color w:val="2E5E22"/>
          <w:sz w:val="19"/>
          <w:szCs w:val="19"/>
        </w:rPr>
        <w:t xml:space="preserve">MANEJO BAJO SIN RESIDUOS DE PESTICIDAS — PREVENCIÓN PRIMERO</w:t>
      </w:r>
    </w:p>
    <w:p>
      <w:pPr>
        <w:pStyle w:val="ListParagraph"/>
        <w:numPr>
          <w:ilvl w:val="0"/>
          <w:numId w:val="3"/>
        </w:numPr>
        <w:spacing w:after="10" w:before="10"/>
      </w:pPr>
      <w:r>
        <w:rPr>
          <w:color w:val="222222"/>
          <w:sz w:val="18"/>
          <w:szCs w:val="18"/>
        </w:rPr>
        <w:t xml:space="preserve">Solo material certificado libre de virus, con pasaporte fitosanitario y trazabilidad.</w:t>
      </w:r>
    </w:p>
    <w:p>
      <w:pPr>
        <w:pStyle w:val="ListParagraph"/>
        <w:numPr>
          <w:ilvl w:val="0"/>
          <w:numId w:val="3"/>
        </w:numPr>
        <w:spacing w:after="10" w:before="10"/>
      </w:pPr>
      <w:r>
        <w:rPr>
          <w:color w:val="222222"/>
          <w:sz w:val="18"/>
          <w:szCs w:val="18"/>
        </w:rPr>
        <w:t xml:space="preserve">Desinfección de herramientas de corte entre árbol y árbol (poda e injerto).</w:t>
      </w:r>
    </w:p>
    <w:p>
      <w:pPr>
        <w:pStyle w:val="ListParagraph"/>
        <w:numPr>
          <w:ilvl w:val="0"/>
          <w:numId w:val="3"/>
        </w:numPr>
        <w:spacing w:after="10" w:before="10"/>
      </w:pPr>
      <w:r>
        <w:rPr>
          <w:color w:val="222222"/>
          <w:sz w:val="18"/>
          <w:szCs w:val="18"/>
        </w:rPr>
        <w:t xml:space="preserve">Localización, arranque y saneamiento de los árboles positivos.</w:t>
      </w:r>
    </w:p>
    <w:p>
      <w:pPr>
        <w:pStyle w:val="ListParagraph"/>
        <w:numPr>
          <w:ilvl w:val="0"/>
          <w:numId w:val="3"/>
        </w:numPr>
        <w:spacing w:after="10" w:before="10"/>
      </w:pPr>
      <w:r>
        <w:rPr>
          <w:color w:val="222222"/>
          <w:sz w:val="18"/>
          <w:szCs w:val="18"/>
        </w:rPr>
        <w:t xml:space="preserve">Retirar las malas hierbas reservorio del ruedo y lindes (manteniendo la cubierta funcional).</w:t>
      </w:r>
    </w:p>
    <w:p>
      <w:pPr>
        <w:pStyle w:val="ListParagraph"/>
        <w:numPr>
          <w:ilvl w:val="0"/>
          <w:numId w:val="3"/>
        </w:numPr>
        <w:spacing w:after="10" w:before="10"/>
      </w:pPr>
      <w:r>
        <w:rPr>
          <w:color w:val="222222"/>
          <w:sz w:val="18"/>
          <w:szCs w:val="18"/>
        </w:rPr>
        <w:t xml:space="preserve">Vectores: control biológico y umbrales primero; intervenir solo en perímetros de foco y siempre con garantía de residuo cero, coordinando con la entidad de certificación.</w:t>
      </w:r>
    </w:p>
    <w:p>
      <w:pPr>
        <w:spacing w:after="30" w:before="70"/>
      </w:pPr>
      <w:r>
        <w:rPr>
          <w:b/>
          <w:bCs/>
          <w:color w:val="222222"/>
          <w:sz w:val="18"/>
          <w:szCs w:val="18"/>
        </w:rPr>
        <w:t xml:space="preserve">Ante sospecha: muestrear, enviar a laboratorio (RT-PCR) y notificar al servicio de sanidad vegetal (CCAA en España; DRAP/DGAV en Portugal). Registrar todo en el cuaderno de campo.</w:t>
      </w:r>
    </w:p>
    <w:p>
      <w:pPr>
        <w:spacing w:after="60" w:before="100"/>
      </w:pPr>
    </w:p>
    <w:tbl>
      <w:tblPr>
        <w:tblW w:type="dxa" w:w="10318"/>
        <w:tblBorders>
          <w:top w:val="single" w:color="3A7D2C" w:sz="6"/>
          <w:left w:val="single" w:color="3A7D2C" w:sz="6"/>
          <w:bottom w:val="single" w:color="3A7D2C" w:sz="6"/>
          <w:right w:val="single" w:color="3A7D2C" w:sz="6"/>
          <w:insideH w:val="none"/>
          <w:insideV w:val="none"/>
        </w:tblBorders>
      </w:tblPr>
      <w:tblGrid>
        <w:gridCol w:w="7600"/>
        <w:gridCol w:w="2718"/>
      </w:tblGrid>
      <w:tr>
        <w:tc>
          <w:tcPr>
            <w:tcW w:type="dxa" w:w="7600"/>
            <w:shd w:fill="EAF3E4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30" w:before="0"/>
            </w:pPr>
            <w:r>
              <w:rPr>
                <w:b/>
                <w:bCs/>
                <w:color w:val="2E5E22"/>
                <w:sz w:val="20"/>
                <w:szCs w:val="20"/>
              </w:rPr>
              <w:t xml:space="preserve">¿Necesitas más información?</w:t>
            </w:r>
          </w:p>
          <w:p>
            <w:pPr>
              <w:spacing w:after="30" w:before="0"/>
            </w:pPr>
            <w:r>
              <w:rPr>
                <w:color w:val="222222"/>
                <w:sz w:val="17"/>
                <w:szCs w:val="17"/>
              </w:rPr>
              <w:t xml:space="preserve">Escríbenos o escanea el código QR para contactar con ZERYA y solicitar asesoramiento.</w:t>
            </w:r>
          </w:p>
          <w:p>
            <w:pPr>
              <w:spacing w:after="0" w:before="0"/>
            </w:pPr>
            <w:r>
              <w:rPr>
                <w:b/>
                <w:bCs/>
                <w:color w:val="222222"/>
                <w:sz w:val="17"/>
                <w:szCs w:val="17"/>
              </w:rPr>
              <w:t xml:space="preserve">Web: </w:t>
            </w:r>
            <w:r>
              <w:rPr>
                <w:color w:val="222222"/>
                <w:sz w:val="17"/>
                <w:szCs w:val="17"/>
              </w:rPr>
              <w:t xml:space="preserve">zerya.org/contacto</w:t>
            </w:r>
            <w:r>
              <w:rPr>
                <w:b/>
                <w:bCs/>
                <w:color w:val="222222"/>
                <w:sz w:val="17"/>
                <w:szCs w:val="17"/>
              </w:rPr>
              <w:t xml:space="preserve">   ·   Email: </w:t>
            </w:r>
            <w:r>
              <w:rPr>
                <w:color w:val="222222"/>
                <w:sz w:val="17"/>
                <w:szCs w:val="17"/>
              </w:rPr>
              <w:t xml:space="preserve">consultas@zerya.org</w:t>
            </w:r>
          </w:p>
          <w:p>
            <w:pPr>
              <w:spacing w:after="0" w:before="20"/>
            </w:pPr>
            <w:r>
              <w:rPr>
                <w:b/>
                <w:bCs/>
                <w:color w:val="222222"/>
                <w:sz w:val="17"/>
                <w:szCs w:val="17"/>
              </w:rPr>
              <w:t xml:space="preserve">Tel.: </w:t>
            </w:r>
            <w:r>
              <w:rPr>
                <w:color w:val="222222"/>
                <w:sz w:val="17"/>
                <w:szCs w:val="17"/>
              </w:rPr>
              <w:t xml:space="preserve">+34 622 690 956</w:t>
            </w:r>
          </w:p>
        </w:tc>
        <w:tc>
          <w:tcPr>
            <w:tcW w:type="dxa" w:w="2718"/>
            <w:shd w:fill="EAF3E4" w:color="auto" w:val="clear"/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spacing w:after="10" w:before="0"/>
              <w:jc w:val="center"/>
            </w:pPr>
            <w:r>
              <w:drawing>
                <wp:inline distT="0" distB="0" distL="0" distR="0">
                  <wp:extent cx="914400" cy="91440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before="0"/>
              <w:jc w:val="center"/>
            </w:pPr>
            <w:r>
              <w:rPr>
                <w:color w:val="555555"/>
                <w:sz w:val="14"/>
                <w:szCs w:val="14"/>
              </w:rPr>
              <w:t xml:space="preserve">Escanéame</w:t>
            </w:r>
          </w:p>
        </w:tc>
      </w:tr>
    </w:tbl>
    <w:p>
      <w:pPr>
        <w:spacing w:after="0" w:before="80"/>
      </w:pPr>
      <w:r>
        <w:rPr>
          <w:i/>
          <w:iCs/>
          <w:color w:val="555555"/>
          <w:sz w:val="13"/>
          <w:szCs w:val="13"/>
        </w:rPr>
        <w:t xml:space="preserve">ZERYA es la norma voluntaria verificada por entidades de certificación independientes y acreditadas. Programa Sin Residuos de Pesticidas. Fuentes oficiales: DGAV (Portugal), GVA/AVA-ASAJA, BOJA, EPPO. Ilustración: elaboración propia ZERYA basada en descripciones de EPPO, CDFA y GVA. Verificar la normativa vigente antes de actuar.</w:t>
      </w:r>
    </w:p>
    <w:sectPr>
      <w:pgSz w:w="11906" w:h="16838" w:orient="portrait"/>
      <w:pgMar w:top="567" w:right="794" w:bottom="454" w:left="79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00" w:hanging="200"/>
      </w:pPr>
      <w:rPr>
        <w:color w:val="3A7D2C"/>
      </w:r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00" w:hanging="200"/>
      </w:pPr>
    </w:lvl>
  </w:abstractNum>
  <w:abstractNum w:abstractNumId="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0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d18b42a4769fc777d87f4ab328f67d0a5b68d4af.png"/><Relationship Id="rId8" Type="http://schemas.openxmlformats.org/officeDocument/2006/relationships/image" Target="media/b0456bc63d068abafafca7c26a9ab4e28134df7e.jpg"/><Relationship Id="rId9" Type="http://schemas.openxmlformats.org/officeDocument/2006/relationships/image" Target="media/19fda86646db394add9ceb581ec2def1df54c0b6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Ficha CYVCV ZERYA</dc:title>
  <dc:creator>ZERYA</dc:creator>
  <cp:lastModifiedBy>Un-named</cp:lastModifiedBy>
  <cp:revision>1</cp:revision>
  <dcterms:created xsi:type="dcterms:W3CDTF">2026-09-15T09:02:37.440Z</dcterms:created>
  <dcterms:modified xsi:type="dcterms:W3CDTF">2026-09-15T09:02:37.449Z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