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3A7D2C" w:color="auto" w:val="clear"/>
        <w:spacing w:after="0" w:before="0"/>
      </w:pPr>
      <w:r>
        <w:rPr>
          <w:b/>
          <w:bCs/>
          <w:color w:val="FFFFFF"/>
          <w:sz w:val="30"/>
          <w:szCs w:val="30"/>
        </w:rPr>
        <w:t xml:space="preserve">Clorose nervial amarela dos citrinos (CYVCV)</w:t>
      </w:r>
      <w:r>
        <w:br/>
        <w:t xml:space="preserve"/>
      </w:r>
      <w:r>
        <w:rPr>
          <w:i/>
          <w:iCs/>
          <w:color w:val="F2F8EE"/>
          <w:sz w:val="17"/>
          <w:szCs w:val="17"/>
        </w:rPr>
        <w:t xml:space="preserve">Ficha prática · Espanha e Portugal · 2026</w:t>
      </w:r>
    </w:p>
    <w:p>
      <w:pPr>
        <w:spacing w:after="100" w:before="120"/>
      </w:pPr>
      <w:r>
        <w:rPr>
          <w:b/>
          <w:bCs/>
          <w:color w:val="222222"/>
          <w:sz w:val="19"/>
          <w:szCs w:val="19"/>
        </w:rPr>
        <w:t xml:space="preserve">O vírus emergente mais relevante da citricultura ibérica. A gestão é preventiva e, por isso, plenamente compatível com a </w:t>
      </w:r>
      <w:r>
        <w:rPr>
          <w:b/>
          <w:bCs/>
          <w:color w:val="222222"/>
          <w:sz w:val="19"/>
          <w:szCs w:val="19"/>
        </w:rPr>
        <w:t xml:space="preserve">ZERYA</w:t>
      </w:r>
      <w:r>
        <w:rPr>
          <w:b/>
          <w:bCs/>
          <w:color w:val="222222"/>
          <w:sz w:val="19"/>
          <w:szCs w:val="19"/>
          <w:vertAlign w:val="superscript"/>
        </w:rPr>
        <w:t xml:space="preserve">®</w:t>
      </w:r>
      <w:r>
        <w:rPr>
          <w:b/>
          <w:bCs/>
          <w:color w:val="222222"/>
          <w:sz w:val="19"/>
          <w:szCs w:val="19"/>
        </w:rPr>
        <w:t xml:space="preserve"> SEM Resíduos de Pesticidas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O QUE É?</w:t>
      </w:r>
    </w:p>
    <w:p>
      <w:pPr>
        <w:spacing w:after="20" w:before="20"/>
      </w:pPr>
      <w:r>
        <w:rPr>
          <w:color w:val="222222"/>
          <w:sz w:val="18"/>
          <w:szCs w:val="18"/>
        </w:rPr>
        <w:t xml:space="preserve">Vírus sistémico e permanente (Potexvirus citriflavivenae). A árvore infetada fica doente para toda a vida e torna-se foco de contágio. Afeta sobretudo limoeiro, limeira e laranjeira-azeda; laranjeira, tangerineira, clementina e várias infestantes atuam como reservatórios sem sintomas.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COMO RECONHECÊ-LO</w:t>
      </w:r>
    </w:p>
    <w:tbl>
      <w:tblPr>
        <w:tblW w:type="dxa" w:w="1031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00"/>
        <w:gridCol w:w="6418"/>
      </w:tblGrid>
      <w:tr>
        <w:tc>
          <w:tcPr>
            <w:tcW w:type="dxa" w:w="3900"/>
            <w:tcMar>
              <w:top w:type="dxa" w:w="20"/>
              <w:left w:type="dxa" w:w="20"/>
              <w:bottom w:type="dxa" w:w="20"/>
              <w:right w:type="dxa" w:w="120"/>
            </w:tcMar>
            <w:vAlign w:val="center"/>
          </w:tcPr>
          <w:p>
            <w:pPr>
              <w:spacing w:after="20" w:before="0"/>
              <w:jc w:val="center"/>
            </w:pPr>
            <w:r>
              <w:drawing>
                <wp:inline distT="0" distB="0" distL="0" distR="0">
                  <wp:extent cx="2209800" cy="1123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/>
              <w:jc w:val="center"/>
            </w:pPr>
            <w:r>
              <w:rPr>
                <w:i/>
                <w:iCs/>
                <w:color w:val="555555"/>
                <w:sz w:val="12"/>
                <w:szCs w:val="12"/>
              </w:rPr>
              <w:t xml:space="preserve">Esq.: folha sã · Dta.: clareamento nervial amarelo (CYVCV). Ilustração orientativa.</w:t>
            </w:r>
          </w:p>
        </w:tc>
        <w:tc>
          <w:tcPr>
            <w:tcW w:type="dxa" w:w="6418"/>
            <w:tcMar>
              <w:top w:type="dxa" w:w="20"/>
              <w:left w:type="dxa" w:w="60"/>
              <w:bottom w:type="dxa" w:w="20"/>
              <w:right w:type="dxa" w:w="20"/>
            </w:tcMar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spacing w:after="8" w:before="8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Sintomas: </w:t>
            </w:r>
            <w:r>
              <w:rPr>
                <w:color w:val="222222"/>
                <w:sz w:val="17"/>
                <w:szCs w:val="17"/>
              </w:rPr>
              <w:t xml:space="preserve">nervuras (sobretudo secundárias) de amarelo intenso, folha enrugada e manchas em anel; no limão, fruto malformado e de menor calibre.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" w:before="8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Quando observar: </w:t>
            </w:r>
            <w:r>
              <w:rPr>
                <w:color w:val="222222"/>
                <w:sz w:val="17"/>
                <w:szCs w:val="17"/>
              </w:rPr>
              <w:t xml:space="preserve">na primavera e no outono; no verão os sintomas atenuam-se e podem enganar.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" w:before="8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Atenção: </w:t>
            </w:r>
            <w:r>
              <w:rPr>
                <w:color w:val="222222"/>
                <w:sz w:val="17"/>
                <w:szCs w:val="17"/>
              </w:rPr>
              <w:t xml:space="preserve">o amarelecimento pode confundir-se com carências ou outras viroses; confirmar sempre em laboratório (RT-PCR).</w:t>
            </w:r>
          </w:p>
        </w:tc>
      </w:tr>
    </w:tbl>
    <w:p>
      <w:pPr>
        <w:spacing w:after="20" w:before="40"/>
        <w:jc w:val="center"/>
      </w:pPr>
      <w:r>
        <w:drawing>
          <wp:inline distT="0" distB="0" distL="0" distR="0">
            <wp:extent cx="2343150" cy="1343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0"/>
        <w:jc w:val="center"/>
      </w:pPr>
      <w:r>
        <w:rPr>
          <w:i/>
          <w:iCs/>
          <w:color w:val="555555"/>
          <w:sz w:val="14"/>
          <w:szCs w:val="14"/>
        </w:rPr>
        <w:t xml:space="preserve">Foto real: folha de limoeiro com clareamento nervial amarelo. Fonte: Kwak et al. (2026), Viruses 18(1):141, CC BY 4.0.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COMO SE TRANSMITE</w:t>
      </w:r>
    </w:p>
    <w:p>
      <w:pPr>
        <w:spacing w:after="20" w:before="20"/>
      </w:pPr>
      <w:r>
        <w:rPr>
          <w:color w:val="222222"/>
          <w:sz w:val="18"/>
          <w:szCs w:val="18"/>
        </w:rPr>
        <w:t xml:space="preserve">Planta de viveiro infetada (via principal), enxertia, ferramentas de corte contaminadas e vetores (afídeos Aphis spiraecola / A. gossypii e mosca-branca Dialeurodes citri). Não se transmite por semente.</w:t>
      </w:r>
    </w:p>
    <w:p>
      <w:pPr>
        <w:pBdr>
          <w:bottom w:val="single" w:color="CFE0C4" w:sz="4"/>
        </w:pBdr>
        <w:spacing w:after="30" w:before="110"/>
      </w:pPr>
      <w:r>
        <w:rPr>
          <w:b/>
          <w:bCs/>
          <w:color w:val="2E5E22"/>
          <w:sz w:val="19"/>
          <w:szCs w:val="19"/>
        </w:rPr>
        <w:t xml:space="preserve">GESTÃO SOB SEM RESÍDUOS DE PESTICIDAS — PREVENÇÃO PRIMEIRO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Apenas material certificado livre de vírus, com passaporte fitossanitário e rastreabilidade.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Desinfeção das ferramentas de corte entre árvore e árvore (poda e enxertia).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Localização, arranque e saneamento das árvores positivas.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Retirar as infestantes reservatório do redor e das bordaduras (mantendo a cobertura funcional).</w:t>
      </w:r>
    </w:p>
    <w:p>
      <w:pPr>
        <w:pStyle w:val="ListParagraph"/>
        <w:numPr>
          <w:ilvl w:val="0"/>
          <w:numId w:val="3"/>
        </w:numPr>
        <w:spacing w:after="10" w:before="10"/>
      </w:pPr>
      <w:r>
        <w:rPr>
          <w:color w:val="222222"/>
          <w:sz w:val="18"/>
          <w:szCs w:val="18"/>
        </w:rPr>
        <w:t xml:space="preserve">Vetores: controlo biológico e níveis económicos de ataque primeiro; intervir só nos perímetros de foco e sempre com garantia de resíduo zero, coordenando com a entidade de certificação.</w:t>
      </w:r>
    </w:p>
    <w:p>
      <w:pPr>
        <w:spacing w:after="30" w:before="70"/>
      </w:pPr>
      <w:r>
        <w:rPr>
          <w:b/>
          <w:bCs/>
          <w:color w:val="222222"/>
          <w:sz w:val="18"/>
          <w:szCs w:val="18"/>
        </w:rPr>
        <w:t xml:space="preserve">Perante suspeita: amostrar, enviar para laboratório (RT-PCR) e notificar o serviço de sanidade vegetal (DRAP/DGAV em Portugal; CCAA em Espanha). Registar tudo no caderno de campo.</w:t>
      </w:r>
    </w:p>
    <w:p>
      <w:pPr>
        <w:spacing w:after="60" w:before="100"/>
      </w:pPr>
    </w:p>
    <w:tbl>
      <w:tblPr>
        <w:tblW w:type="dxa" w:w="10318"/>
        <w:tblBorders>
          <w:top w:val="single" w:color="3A7D2C" w:sz="6"/>
          <w:left w:val="single" w:color="3A7D2C" w:sz="6"/>
          <w:bottom w:val="single" w:color="3A7D2C" w:sz="6"/>
          <w:right w:val="single" w:color="3A7D2C" w:sz="6"/>
          <w:insideH w:val="none"/>
          <w:insideV w:val="none"/>
        </w:tblBorders>
      </w:tblPr>
      <w:tblGrid>
        <w:gridCol w:w="7600"/>
        <w:gridCol w:w="2718"/>
      </w:tblGrid>
      <w:tr>
        <w:tc>
          <w:tcPr>
            <w:tcW w:type="dxa" w:w="7600"/>
            <w:shd w:fill="EAF3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30" w:before="0"/>
            </w:pPr>
            <w:r>
              <w:rPr>
                <w:b/>
                <w:bCs/>
                <w:color w:val="2E5E22"/>
                <w:sz w:val="20"/>
                <w:szCs w:val="20"/>
              </w:rPr>
              <w:t xml:space="preserve">Precisa de mais informação?</w:t>
            </w:r>
          </w:p>
          <w:p>
            <w:pPr>
              <w:spacing w:after="30" w:before="0"/>
            </w:pPr>
            <w:r>
              <w:rPr>
                <w:color w:val="222222"/>
                <w:sz w:val="17"/>
                <w:szCs w:val="17"/>
              </w:rPr>
              <w:t xml:space="preserve">Escreva-nos ou digitalize o código QR para contactar a ZERYA e solicitar aconselhamento.</w:t>
            </w:r>
          </w:p>
          <w:p>
            <w:pPr>
              <w:spacing w:after="0" w:before="0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Web: </w:t>
            </w:r>
            <w:r>
              <w:rPr>
                <w:color w:val="222222"/>
                <w:sz w:val="17"/>
                <w:szCs w:val="17"/>
              </w:rPr>
              <w:t xml:space="preserve">zerya.org/contacto</w:t>
            </w:r>
            <w:r>
              <w:rPr>
                <w:b/>
                <w:bCs/>
                <w:color w:val="222222"/>
                <w:sz w:val="17"/>
                <w:szCs w:val="17"/>
              </w:rPr>
              <w:t xml:space="preserve">   ·   Email: </w:t>
            </w:r>
            <w:r>
              <w:rPr>
                <w:color w:val="222222"/>
                <w:sz w:val="17"/>
                <w:szCs w:val="17"/>
              </w:rPr>
              <w:t xml:space="preserve">consultas@zerya.org</w:t>
            </w:r>
          </w:p>
          <w:p>
            <w:pPr>
              <w:spacing w:after="0" w:before="20"/>
            </w:pPr>
            <w:r>
              <w:rPr>
                <w:b/>
                <w:bCs/>
                <w:color w:val="222222"/>
                <w:sz w:val="17"/>
                <w:szCs w:val="17"/>
              </w:rPr>
              <w:t xml:space="preserve">Tel.: </w:t>
            </w:r>
            <w:r>
              <w:rPr>
                <w:color w:val="222222"/>
                <w:sz w:val="17"/>
                <w:szCs w:val="17"/>
              </w:rPr>
              <w:t xml:space="preserve">+34 622 690 956</w:t>
            </w:r>
          </w:p>
        </w:tc>
        <w:tc>
          <w:tcPr>
            <w:tcW w:type="dxa" w:w="2718"/>
            <w:shd w:fill="EAF3E4" w:color="auto" w:val="clear"/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pPr>
              <w:spacing w:after="10" w:before="0"/>
              <w:jc w:val="center"/>
            </w:pPr>
            <w:r>
              <w:drawing>
                <wp:inline distT="0" distB="0" distL="0" distR="0">
                  <wp:extent cx="914400" cy="9144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before="0"/>
              <w:jc w:val="center"/>
            </w:pPr>
            <w:r>
              <w:rPr>
                <w:color w:val="555555"/>
                <w:sz w:val="14"/>
                <w:szCs w:val="14"/>
              </w:rPr>
              <w:t xml:space="preserve">Digitalize-me</w:t>
            </w:r>
          </w:p>
        </w:tc>
      </w:tr>
    </w:tbl>
    <w:p>
      <w:pPr>
        <w:spacing w:after="0" w:before="80"/>
      </w:pPr>
      <w:r>
        <w:rPr>
          <w:i/>
          <w:iCs/>
          <w:color w:val="555555"/>
          <w:sz w:val="13"/>
          <w:szCs w:val="13"/>
        </w:rPr>
        <w:t xml:space="preserve">A ZERYA é a norma voluntária verificada por entidades de certificação independentes e acreditadas. Programa Sem Resíduos de Pesticidas. Fontes oficiais: DGAV (Portugal), GVA/AVA-ASAJA, BOJA, EPPO. Ilustração: elaboração própria ZERYA baseada em descrições de EPPO, CDFA e GVA. Verificar a legislação em vigor antes de atuar.</w:t>
      </w:r>
    </w:p>
    <w:sectPr>
      <w:pgSz w:w="11906" w:h="16838" w:orient="portrait"/>
      <w:pgMar w:top="567" w:right="794" w:bottom="454" w:left="79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00"/>
      </w:pPr>
      <w:rPr>
        <w:color w:val="3A7D2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00" w:hanging="2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18b42a4769fc777d87f4ab328f67d0a5b68d4af.png"/><Relationship Id="rId8" Type="http://schemas.openxmlformats.org/officeDocument/2006/relationships/image" Target="media/b0456bc63d068abafafca7c26a9ab4e28134df7e.jpg"/><Relationship Id="rId9" Type="http://schemas.openxmlformats.org/officeDocument/2006/relationships/image" Target="media/19fda86646db394add9ceb581ec2def1df54c0b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CYVCV ZERYA</dc:title>
  <dc:creator>ZERYA</dc:creator>
  <cp:lastModifiedBy>Un-named</cp:lastModifiedBy>
  <cp:revision>1</cp:revision>
  <dcterms:created xsi:type="dcterms:W3CDTF">2026-09-15T09:02:37.483Z</dcterms:created>
  <dcterms:modified xsi:type="dcterms:W3CDTF">2026-09-15T09:02:37.483Z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